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17</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520459</w:t>
      </w:r>
      <w:r>
        <w:rPr>
          <w:b/>
          <w:sz w:val="24"/>
          <w:szCs w:val="24"/>
          <w:highlight w:val="none"/>
        </w:rPr>
        <w:t xml:space="preserve">                      </w:t>
      </w:r>
    </w:p>
    <w:bookmarkEnd w:id="0"/>
    <w:bookmarkEnd w:id="1"/>
    <w:p w14:paraId="5C25862B">
      <w:pPr>
        <w:pStyle w:val="6"/>
        <w:tabs>
          <w:tab w:val="right" w:pos="9781"/>
          <w:tab w:val="right" w:pos="13323"/>
          <w:tab w:val="clear" w:pos="4153"/>
          <w:tab w:val="clear" w:pos="8306"/>
        </w:tabs>
        <w:outlineLvl w:val="0"/>
        <w:rPr>
          <w:rFonts w:hint="default" w:ascii="Times New Roman" w:hAnsi="Times New Roman" w:cs="Times New Roman"/>
          <w:b/>
          <w:sz w:val="24"/>
          <w:szCs w:val="24"/>
          <w:highlight w:val="none"/>
        </w:rPr>
      </w:pPr>
      <w:r>
        <w:rPr>
          <w:b/>
          <w:sz w:val="24"/>
          <w:szCs w:val="24"/>
          <w:highlight w:val="none"/>
          <w:lang w:eastAsia="zh-CN"/>
        </w:rPr>
        <w:t>Dallas, USA, Nov. 17-21</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2025</w:t>
      </w:r>
    </w:p>
    <w:p w14:paraId="607309BB">
      <w:pPr>
        <w:tabs>
          <w:tab w:val="left" w:pos="1985"/>
        </w:tabs>
        <w:rPr>
          <w:rFonts w:ascii="Times New Roman" w:hAnsi="Times New Roman"/>
          <w:b/>
          <w:sz w:val="22"/>
          <w:highlight w:val="cyan"/>
        </w:rPr>
      </w:pPr>
    </w:p>
    <w:p w14:paraId="51C17403">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2</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4"/>
      <w:bookmarkStart w:id="3" w:name="OLE_LINK23"/>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general aspects for AI/ML for NR air interface</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2B446007">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67741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56C0ACA8">
            <w:pPr>
              <w:numPr>
                <w:ilvl w:val="0"/>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59DE7CF8">
            <w:pPr>
              <w:numPr>
                <w:ilvl w:val="1"/>
                <w:numId w:val="5"/>
              </w:numPr>
              <w:spacing w:after="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B01FF1">
            <w:pPr>
              <w:numPr>
                <w:ilvl w:val="1"/>
                <w:numId w:val="5"/>
              </w:numPr>
              <w:spacing w:after="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6A1BC8F5">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general aspects.</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p w14:paraId="7513148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RAN4#115 meeting, it was agreed to define one test per UE capability as a minimum, FFS &gt;1 test per UE capability.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603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2F3397B">
            <w:pPr>
              <w:spacing w:after="120" w:afterLines="50"/>
              <w:rPr>
                <w:rFonts w:hint="default" w:ascii="Times New Roman" w:hAnsi="Times New Roman" w:cs="Times New Roman"/>
                <w:b/>
                <w:sz w:val="20"/>
                <w:szCs w:val="20"/>
                <w:lang w:eastAsia="zh-CN"/>
              </w:rPr>
            </w:pPr>
            <w:r>
              <w:rPr>
                <w:rFonts w:hint="default" w:ascii="Times New Roman" w:hAnsi="Times New Roman" w:cs="Times New Roman"/>
                <w:b/>
                <w:sz w:val="20"/>
                <w:szCs w:val="20"/>
                <w:lang w:eastAsia="zh-CN"/>
              </w:rPr>
              <w:t>Agreements</w:t>
            </w:r>
            <w:r>
              <w:rPr>
                <w:rFonts w:hint="eastAsia" w:ascii="Times New Roman" w:hAnsi="Times New Roman" w:cs="Times New Roman"/>
                <w:b/>
                <w:sz w:val="20"/>
                <w:szCs w:val="20"/>
                <w:lang w:val="en-US" w:eastAsia="zh-CN"/>
              </w:rPr>
              <w:t xml:space="preserve"> in RAN4#115 meeting</w:t>
            </w:r>
            <w:r>
              <w:rPr>
                <w:rFonts w:hint="default" w:ascii="Times New Roman" w:hAnsi="Times New Roman" w:cs="Times New Roman"/>
                <w:b/>
                <w:sz w:val="20"/>
                <w:szCs w:val="20"/>
                <w:lang w:eastAsia="zh-CN"/>
              </w:rPr>
              <w:t>:</w:t>
            </w:r>
          </w:p>
          <w:p w14:paraId="5C99A99A">
            <w:p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high level and general guidelines for the generalization test are provided as follow. The exact decisions are to be made case by case.</w:t>
            </w:r>
          </w:p>
          <w:p w14:paraId="0E0C68AB">
            <w:pPr>
              <w:pStyle w:val="11"/>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Study and, if feasible, define requirements for each AI/ML functionality</w:t>
            </w:r>
          </w:p>
          <w:p w14:paraId="0D1814EF">
            <w:pPr>
              <w:pStyle w:val="11"/>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one test per UE capability as a minimum</w:t>
            </w:r>
          </w:p>
          <w:p w14:paraId="6FE7B9C3">
            <w:pPr>
              <w:pStyle w:val="11"/>
              <w:numPr>
                <w:ilvl w:val="1"/>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FFS &gt;1 test per UE capability</w:t>
            </w:r>
          </w:p>
          <w:p w14:paraId="214920BC">
            <w:pPr>
              <w:pStyle w:val="11"/>
              <w:numPr>
                <w:ilvl w:val="0"/>
                <w:numId w:val="6"/>
              </w:numPr>
              <w:spacing w:after="120"/>
              <w:ind w:firstLineChars="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Define a minimum set of test configurations (including NW sided conditions if any) as mandatory for testing of AI/ML-enabled Feature</w:t>
            </w:r>
          </w:p>
          <w:p w14:paraId="37BB8F8B">
            <w:pPr>
              <w:pStyle w:val="11"/>
              <w:numPr>
                <w:ilvl w:val="0"/>
                <w:numId w:val="0"/>
              </w:numPr>
              <w:spacing w:after="120"/>
              <w:ind w:left="284" w:leftChars="0"/>
              <w:textAlignment w:val="auto"/>
              <w:rPr>
                <w:rFonts w:hint="default" w:ascii="Times New Roman" w:hAnsi="Times New Roman" w:cs="Times New Roman"/>
                <w:sz w:val="20"/>
                <w:szCs w:val="20"/>
                <w:lang w:eastAsia="zh-CN"/>
              </w:rPr>
            </w:pPr>
          </w:p>
          <w:p w14:paraId="53274498">
            <w:p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Potential areas to consider for generalization testing:</w:t>
            </w:r>
          </w:p>
          <w:p w14:paraId="247F670B">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gNB array parameters</w:t>
            </w:r>
          </w:p>
          <w:p w14:paraId="46A0D315">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port layouts, array size, antenna virtualization</w:t>
            </w:r>
          </w:p>
          <w:p w14:paraId="22CEAE6A">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propagation conditions</w:t>
            </w:r>
          </w:p>
          <w:p w14:paraId="6E05CD8E">
            <w:pPr>
              <w:numPr>
                <w:ilvl w:val="0"/>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Deployment scenarios</w:t>
            </w:r>
          </w:p>
          <w:p w14:paraId="6FABB180">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Carrier frequencies</w:t>
            </w:r>
          </w:p>
          <w:p w14:paraId="28C57184">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Speeds</w:t>
            </w:r>
          </w:p>
          <w:p w14:paraId="39A08BBA">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Indoor/outdoor</w:t>
            </w:r>
          </w:p>
          <w:p w14:paraId="5F1D2FF1">
            <w:pPr>
              <w:numPr>
                <w:ilvl w:val="1"/>
                <w:numId w:val="7"/>
              </w:numPr>
              <w:spacing w:after="120"/>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Bandwidths</w:t>
            </w:r>
          </w:p>
          <w:p w14:paraId="21E62374">
            <w:pPr>
              <w:numPr>
                <w:ilvl w:val="0"/>
                <w:numId w:val="7"/>
              </w:numPr>
              <w:spacing w:after="120"/>
              <w:textAlignment w:val="auto"/>
              <w:rPr>
                <w:rFonts w:hint="eastAsia" w:ascii="Times New Roman" w:hAnsi="Times New Roman" w:eastAsia="等线"/>
                <w:bCs/>
                <w:iCs/>
                <w:sz w:val="20"/>
                <w:szCs w:val="20"/>
                <w:vertAlign w:val="baseline"/>
                <w:lang w:val="en-US" w:eastAsia="zh-CN"/>
              </w:rPr>
            </w:pPr>
            <w:r>
              <w:rPr>
                <w:rFonts w:hint="default" w:ascii="Times New Roman" w:hAnsi="Times New Roman" w:cs="Times New Roman"/>
                <w:sz w:val="20"/>
                <w:szCs w:val="20"/>
                <w:lang w:eastAsia="zh-CN"/>
              </w:rPr>
              <w:t>SNR</w:t>
            </w:r>
          </w:p>
        </w:tc>
      </w:tr>
    </w:tbl>
    <w:p w14:paraId="4441A77D">
      <w:pPr>
        <w:spacing w:after="180" w:line="240" w:lineRule="exact"/>
        <w:rPr>
          <w:rFonts w:hint="eastAsia" w:ascii="Times New Roman" w:hAnsi="Times New Roman" w:eastAsia="等线"/>
          <w:bCs/>
          <w:iCs/>
          <w:sz w:val="20"/>
          <w:szCs w:val="20"/>
          <w:lang w:val="en-US" w:eastAsia="zh-CN"/>
        </w:rPr>
      </w:pPr>
    </w:p>
    <w:p w14:paraId="6A44DFE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beam management, accroding to current RAN1 feature list [4], the feature group is categorized as Increased number of reported RSs for beam management, UE-side beam prediction for BM Case1 [for inference], UE-side beam prediction for BM Case1 with predicted RSRP [for inference], UE-side beam prediction for BM Case2 [for inference], UE-side beam prediction for BM-Case2 with predicted RSRP [for inference], Data collection for UE-side beam prediction [for BM case 1]. For each feature group, there are multiple components. Taking feature group of UE-side beam prediction for BM Case1 [for inference] as an example, there are as much as 12 components, such as maximum number of inference report(s) configured for BM-Case1 per BWP, supported combinations of the number of resources for Set B  and the number of resources for Set A, etc. </w:t>
      </w:r>
    </w:p>
    <w:p w14:paraId="4564DBE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our previous agreements that d</w:t>
      </w:r>
      <w:r>
        <w:rPr>
          <w:rFonts w:hint="default" w:ascii="Times New Roman" w:hAnsi="Times New Roman" w:cs="Times New Roman"/>
          <w:sz w:val="20"/>
          <w:szCs w:val="20"/>
          <w:lang w:eastAsia="zh-CN"/>
        </w:rPr>
        <w:t>efine one test per UE capability as a minimum</w:t>
      </w:r>
      <w:r>
        <w:rPr>
          <w:rFonts w:hint="eastAsia" w:ascii="Times New Roman" w:hAnsi="Times New Roman" w:cs="Times New Roman"/>
          <w:sz w:val="20"/>
          <w:szCs w:val="20"/>
          <w:lang w:val="en-US" w:eastAsia="zh-CN"/>
        </w:rPr>
        <w:t>, it is necessary to align the granularity of UE capability. The UE capability refer to feature group or each component of each feature group in RAN1 feature list. Taking beam prediction as an example, the issue is how RAN4 to define the test. Option 1 is that RAN4 respectively define one test for each feature group, the feature group includes UE-side beam prediction for BM Case1 [for inference], UE-side beam prediction for BM Case1 with predicted RSRP [for inference], UE-side beam prediction for BM Case2 [for inference], UE-side beam prediction for BM-Case2 with predicted RSRP [for inference]. Option 2 is to define mutiple tests for each feature group, and each test corresponding to one component in one feature group.</w:t>
      </w:r>
    </w:p>
    <w:p w14:paraId="3B0F567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If the UE capability refer to feature group in RAN1 feature list, only one test per UE capability is not enough. Even if the UE capability refer to each component of each feature group in RAN1 feature list, there is a risk that the performance may not be guaranted with only one test per UE capability. The reason is that the granularity of UE capability in RAN1 feature list is very rough. For example, RAN1 feature list may consider combinations of the number of resources for Set B and the number of resources for Set A, however, the AI/ML performance is also impacted by the channel condition, gNB array parameter, etc. Even for a certein combination of the number of resources for Set B and the number of resources for Set A, the AI/ML performance may be different for different channel condition, gNB array parameter, etc. From this point of view, it is proposed to consider &gt;1 test per UE capability.</w:t>
      </w:r>
    </w:p>
    <w:p w14:paraId="35CCF8A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generalization test, it is proposed to consider &gt;1 test per UE capability if the granularity of UE capability is rough.     </w:t>
      </w:r>
    </w:p>
    <w:p w14:paraId="5D66EF8C">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bookmarkStart w:id="8" w:name="_GoBack"/>
      <w:bookmarkEnd w:id="8"/>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sz w:val="20"/>
          <w:szCs w:val="20"/>
        </w:rPr>
        <w:t>. The proposals are:</w:t>
      </w:r>
    </w:p>
    <w:p w14:paraId="2AE9239C">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for generalization test, it is proposed to consider &gt;1 test per UE capability if the granularity of UE capability is rough.     </w:t>
      </w:r>
    </w:p>
    <w:p w14:paraId="422F0EDF">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2C8E11A6">
      <w:pPr>
        <w:pStyle w:val="13"/>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19A3973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R4-2514631</w:t>
      </w:r>
      <w:r>
        <w:rPr>
          <w:rFonts w:hint="eastAsia" w:ascii="Times" w:hAnsi="Times" w:eastAsia="宋体"/>
          <w:b w:val="0"/>
          <w:sz w:val="20"/>
          <w:lang w:val="en-US" w:eastAsia="zh-CN"/>
        </w:rPr>
        <w:t>, WF on [116bis][112] R19 AI for air interface</w:t>
      </w:r>
      <w:r>
        <w:rPr>
          <w:rFonts w:hint="eastAsia" w:ascii="Times" w:hAnsi="Times" w:eastAsia="宋体"/>
          <w:b w:val="0"/>
          <w:sz w:val="20"/>
          <w:lang w:eastAsia="zh-CN"/>
        </w:rPr>
        <w:t>, Qualcomm Incorporated</w:t>
      </w:r>
    </w:p>
    <w:p w14:paraId="219A6795">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R4-2511849</w:t>
      </w:r>
      <w:r>
        <w:rPr>
          <w:rFonts w:hint="eastAsia" w:ascii="Times" w:hAnsi="Times" w:eastAsia="宋体"/>
          <w:b w:val="0"/>
          <w:sz w:val="20"/>
          <w:lang w:val="en-US" w:eastAsia="zh-CN"/>
        </w:rPr>
        <w:t>, WF on [116][132] NR_AIML_air_part2</w:t>
      </w:r>
    </w:p>
    <w:p w14:paraId="6201CBF1">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R4-2513004</w:t>
      </w:r>
      <w:r>
        <w:rPr>
          <w:rFonts w:hint="eastAsia" w:ascii="Times" w:hAnsi="Times" w:eastAsia="宋体"/>
          <w:b w:val="0"/>
          <w:sz w:val="20"/>
          <w:lang w:val="en-US" w:eastAsia="zh-CN"/>
        </w:rPr>
        <w:t>, LS on updated Rel-19 RAN1 UE features lists for NR after RAN1#122</w:t>
      </w:r>
    </w:p>
    <w:p w14:paraId="09F5461A">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2FAA37D9">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15D475DD">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R4-2502856</w:t>
      </w:r>
      <w:r>
        <w:rPr>
          <w:rFonts w:hint="eastAsia" w:ascii="Times" w:hAnsi="Times" w:eastAsia="宋体"/>
          <w:b w:val="0"/>
          <w:sz w:val="20"/>
          <w:lang w:val="en-US" w:eastAsia="zh-CN"/>
        </w:rPr>
        <w:t>, WF on the requirements for AI/ML air interfance, Qualcomm Incorporated</w:t>
      </w:r>
    </w:p>
    <w:p w14:paraId="4B1FD71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R4-2420336</w:t>
      </w:r>
      <w:r>
        <w:rPr>
          <w:rFonts w:hint="eastAsia" w:ascii="Times" w:hAnsi="Times" w:eastAsia="宋体"/>
          <w:b w:val="0"/>
          <w:sz w:val="20"/>
          <w:lang w:val="en-US" w:eastAsia="zh-CN"/>
        </w:rPr>
        <w:t>, WF on AI/ML air interface part 2, Ericsson</w:t>
      </w:r>
    </w:p>
    <w:p w14:paraId="2F914823">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3C3D9D5E">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R5-24</w:t>
      </w:r>
      <w:r>
        <w:rPr>
          <w:rFonts w:hint="eastAsia" w:ascii="Times" w:hAnsi="Times" w:eastAsia="宋体"/>
          <w:b w:val="0"/>
          <w:sz w:val="20"/>
          <w:lang w:val="en-US" w:eastAsia="zh-CN"/>
        </w:rPr>
        <w:t>7647, Discussion on handling of AI/ML in RAN5, China Mobile, AT&amp;T, CAICT, Ericsson, Huawei, MediaTek, Nokia, ZTE</w:t>
      </w:r>
    </w:p>
    <w:p w14:paraId="6004D2CA">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22934856">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FB9B0FB">
      <w:pPr>
        <w:pStyle w:val="13"/>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7607198C">
      <w:pPr>
        <w:pStyle w:val="13"/>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37C6161F">
      <w:pPr>
        <w:pStyle w:val="13"/>
        <w:framePr w:wrap="auto" w:vAnchor="margin" w:hAnchor="text" w:yAlign="inline"/>
        <w:ind w:right="400"/>
        <w:jc w:val="both"/>
        <w:rPr>
          <w:rFonts w:ascii="Times" w:hAnsi="Times" w:eastAsia="宋体"/>
          <w:b w:val="0"/>
          <w:sz w:val="20"/>
          <w:lang w:eastAsia="zh-CN"/>
        </w:rPr>
      </w:pPr>
    </w:p>
    <w:p w14:paraId="32EF543F">
      <w:pPr>
        <w:pStyle w:val="13"/>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24059CF"/>
    <w:multiLevelType w:val="multilevel"/>
    <w:tmpl w:val="124059CF"/>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70146DC0"/>
    <w:multiLevelType w:val="multilevel"/>
    <w:tmpl w:val="70146DC0"/>
    <w:lvl w:ilvl="0" w:tentative="0">
      <w:start w:val="1"/>
      <w:numFmt w:val="bullet"/>
      <w:pStyle w:val="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3"/>
  </w:num>
  <w:num w:numId="3">
    <w:abstractNumId w:val="6"/>
  </w:num>
  <w:num w:numId="4">
    <w:abstractNumId w:val="2"/>
  </w:num>
  <w:num w:numId="5">
    <w:abstractNumId w:val="5"/>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42510"/>
    <w:rsid w:val="03C030A6"/>
    <w:rsid w:val="040E6340"/>
    <w:rsid w:val="053428A8"/>
    <w:rsid w:val="08B50B7B"/>
    <w:rsid w:val="09405F3B"/>
    <w:rsid w:val="09B01C47"/>
    <w:rsid w:val="0A573618"/>
    <w:rsid w:val="0D4D2B7A"/>
    <w:rsid w:val="0F4C27CC"/>
    <w:rsid w:val="0FA30B04"/>
    <w:rsid w:val="0FE50EF5"/>
    <w:rsid w:val="111346BF"/>
    <w:rsid w:val="11A46535"/>
    <w:rsid w:val="127D6382"/>
    <w:rsid w:val="13F2010B"/>
    <w:rsid w:val="142E3B2B"/>
    <w:rsid w:val="14A31207"/>
    <w:rsid w:val="14A423A8"/>
    <w:rsid w:val="15685863"/>
    <w:rsid w:val="15C5068C"/>
    <w:rsid w:val="18B21538"/>
    <w:rsid w:val="198619D0"/>
    <w:rsid w:val="1A720A97"/>
    <w:rsid w:val="1C970BAC"/>
    <w:rsid w:val="25C11700"/>
    <w:rsid w:val="2AEC575E"/>
    <w:rsid w:val="2DD01DBA"/>
    <w:rsid w:val="2F3D15B9"/>
    <w:rsid w:val="31890F43"/>
    <w:rsid w:val="342D50A6"/>
    <w:rsid w:val="34453CA2"/>
    <w:rsid w:val="35D22FBC"/>
    <w:rsid w:val="37F31F59"/>
    <w:rsid w:val="393E203F"/>
    <w:rsid w:val="39C97388"/>
    <w:rsid w:val="3AA43493"/>
    <w:rsid w:val="3BFF4ED4"/>
    <w:rsid w:val="3DEF01B7"/>
    <w:rsid w:val="3E9E1A93"/>
    <w:rsid w:val="41F36599"/>
    <w:rsid w:val="44715EBB"/>
    <w:rsid w:val="47E11C0A"/>
    <w:rsid w:val="4D3D03C8"/>
    <w:rsid w:val="4E1736E9"/>
    <w:rsid w:val="4E5A52AA"/>
    <w:rsid w:val="51EC7039"/>
    <w:rsid w:val="5516017D"/>
    <w:rsid w:val="5D2641A2"/>
    <w:rsid w:val="5DCC0D69"/>
    <w:rsid w:val="61554B37"/>
    <w:rsid w:val="6163302D"/>
    <w:rsid w:val="61AF0D51"/>
    <w:rsid w:val="65E96850"/>
    <w:rsid w:val="6A356F1A"/>
    <w:rsid w:val="6AC458C1"/>
    <w:rsid w:val="6C8E3A48"/>
    <w:rsid w:val="6D205895"/>
    <w:rsid w:val="6D3A643F"/>
    <w:rsid w:val="6F3538B4"/>
    <w:rsid w:val="6F984846"/>
    <w:rsid w:val="715440AF"/>
    <w:rsid w:val="724D5513"/>
    <w:rsid w:val="73977D75"/>
    <w:rsid w:val="739A5EFA"/>
    <w:rsid w:val="73EF26C0"/>
    <w:rsid w:val="753E3654"/>
    <w:rsid w:val="75886832"/>
    <w:rsid w:val="768169FB"/>
    <w:rsid w:val="77D070AC"/>
    <w:rsid w:val="79D9262A"/>
    <w:rsid w:val="7A4603DC"/>
    <w:rsid w:val="7AB15C57"/>
    <w:rsid w:val="7C3F4164"/>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7">
    <w:name w:val="List"/>
    <w:basedOn w:val="1"/>
    <w:semiHidden/>
    <w:qFormat/>
    <w:uiPriority w:val="0"/>
    <w:pPr>
      <w:ind w:left="568" w:hanging="284"/>
    </w:pPr>
  </w:style>
  <w:style w:type="table" w:styleId="9">
    <w:name w:val="Table Grid"/>
    <w:basedOn w:val="8"/>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1">
    <w:name w:val="List Paragraph"/>
    <w:basedOn w:val="1"/>
    <w:qFormat/>
    <w:uiPriority w:val="34"/>
    <w:pPr>
      <w:widowControl/>
      <w:ind w:firstLine="420" w:firstLineChars="200"/>
      <w:jc w:val="left"/>
    </w:pPr>
    <w:rPr>
      <w:rFonts w:ascii="宋体" w:hAnsi="宋体"/>
      <w:kern w:val="0"/>
    </w:rPr>
  </w:style>
  <w:style w:type="paragraph" w:customStyle="1" w:styleId="12">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4">
    <w:name w:val="B1"/>
    <w:basedOn w:val="7"/>
    <w:qFormat/>
    <w:uiPriority w:val="0"/>
    <w:pPr>
      <w:ind w:left="568" w:hanging="284"/>
    </w:pPr>
  </w:style>
  <w:style w:type="paragraph" w:customStyle="1" w:styleId="15">
    <w:name w:val="B2"/>
    <w:basedOn w:val="1"/>
    <w:qFormat/>
    <w:uiPriority w:val="0"/>
    <w:pPr>
      <w:ind w:left="851" w:hanging="284"/>
    </w:pPr>
  </w:style>
  <w:style w:type="paragraph" w:customStyle="1" w:styleId="16">
    <w:name w:val="B3"/>
    <w:basedOn w:val="1"/>
    <w:qFormat/>
    <w:uiPriority w:val="0"/>
    <w:pPr>
      <w:ind w:left="1135" w:hanging="284"/>
    </w:pPr>
  </w:style>
  <w:style w:type="paragraph" w:customStyle="1" w:styleId="17">
    <w:name w:val="Agreement"/>
    <w:basedOn w:val="1"/>
    <w:next w:val="18"/>
    <w:qFormat/>
    <w:uiPriority w:val="99"/>
    <w:pPr>
      <w:numPr>
        <w:ilvl w:val="0"/>
        <w:numId w:val="3"/>
      </w:numPr>
      <w:spacing w:before="60"/>
    </w:pPr>
    <w:rPr>
      <w:b/>
    </w:rPr>
  </w:style>
  <w:style w:type="paragraph" w:customStyle="1" w:styleId="18">
    <w:name w:val="Doc-text2"/>
    <w:basedOn w:val="1"/>
    <w:qFormat/>
    <w:uiPriority w:val="0"/>
    <w:pPr>
      <w:tabs>
        <w:tab w:val="left" w:pos="1622"/>
      </w:tabs>
      <w:spacing w:before="0"/>
      <w:ind w:left="1622" w:hanging="363"/>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2025-11-07T08:12:56Z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